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記事を読んでどのようなことを考えましたか。まとめてみましょう。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記事を読んでどのようなことを考えましたか。まとめてみましょう。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田んぼダムの普及のための課題とは何ですか。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田んぼダムの普及のための課題とは何ですか。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田んぼダムのメリットは何ですか。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田んぼダムのメリットは何ですか。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⑪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⑪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197485</wp:posOffset>
            </wp:positionH>
            <wp:positionV relativeFrom="paragraph">
              <wp:posOffset>861060</wp:posOffset>
            </wp:positionV>
            <wp:extent cx="7084060" cy="4072890"/>
            <wp:effectExtent l="0" t="0" r="0" b="0"/>
            <wp:wrapThrough wrapText="bothSides">
              <wp:wrapPolygon>
                <wp:start x="0" y="0"/>
                <wp:lineTo x="0" y="21563"/>
                <wp:lineTo x="21600" y="21563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8406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2024-06-21T06:35:35Z</dcterms:modified>
  <cp:revision>13</cp:revision>
</cp:coreProperties>
</file>